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charts/chart2.xml" ContentType="application/vnd.openxmlformats-officedocument.drawingml.chart+xml"/>
  <Override PartName="/word/charts/style2.xml" ContentType="application/vnd.ms-office.chartstyle+xml"/>
  <Override PartName="/word/charts/colors2.xml" ContentType="application/vnd.ms-office.chartcolorstyle+xml"/>
  <Override PartName="/word/charts/chart3.xml" ContentType="application/vnd.openxmlformats-officedocument.drawingml.chart+xml"/>
  <Override PartName="/word/charts/style3.xml" ContentType="application/vnd.ms-office.chartstyle+xml"/>
  <Override PartName="/word/charts/colors3.xml" ContentType="application/vnd.ms-office.chartcolorstyle+xml"/>
  <Override PartName="/word/charts/chart4.xml" ContentType="application/vnd.openxmlformats-officedocument.drawingml.chart+xml"/>
  <Override PartName="/word/charts/style4.xml" ContentType="application/vnd.ms-office.chartstyle+xml"/>
  <Override PartName="/word/charts/colors4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E0D0E9" w14:textId="77777777" w:rsidR="00B254FF" w:rsidRPr="005201C6" w:rsidRDefault="00B254FF" w:rsidP="00B254FF">
      <w:pPr>
        <w:bidi/>
        <w:spacing w:after="0" w:line="240" w:lineRule="auto"/>
        <w:rPr>
          <w:rFonts w:ascii="IPT Nazanin" w:hAnsi="IPT Nazanin" w:cs="B Nazanin"/>
          <w:b/>
          <w:bCs/>
          <w:sz w:val="26"/>
          <w:szCs w:val="26"/>
          <w:rtl/>
        </w:rPr>
      </w:pPr>
      <w:r>
        <w:rPr>
          <w:rFonts w:ascii="IPT Nazanin" w:hAnsi="IPT Nazanin" w:cs="B Nazanin"/>
          <w:b/>
          <w:bCs/>
          <w:sz w:val="26"/>
          <w:szCs w:val="26"/>
        </w:rPr>
        <w:t></w:t>
      </w: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- ارزیابی شاخص‌های عملکردی بخش بیمه‌شدگان و مستمری بگیران شهرستان کاشان</w:t>
      </w:r>
    </w:p>
    <w:p w14:paraId="4BBB225B" w14:textId="1DDE5616" w:rsidR="00B254FF" w:rsidRPr="005201C6" w:rsidRDefault="00B254FF" w:rsidP="00B254FF">
      <w:pPr>
        <w:bidi/>
        <w:jc w:val="center"/>
        <w:rPr>
          <w:rFonts w:ascii="IPT Nazanin" w:hAnsi="IPT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 1: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‌های ارزیابی عملکرد بخش مالیاتی شهرستان</w:t>
      </w:r>
    </w:p>
    <w:tbl>
      <w:tblPr>
        <w:bidiVisual/>
        <w:tblW w:w="9069" w:type="dxa"/>
        <w:jc w:val="center"/>
        <w:tblLook w:val="04A0" w:firstRow="1" w:lastRow="0" w:firstColumn="1" w:lastColumn="0" w:noHBand="0" w:noVBand="1"/>
      </w:tblPr>
      <w:tblGrid>
        <w:gridCol w:w="3124"/>
        <w:gridCol w:w="5945"/>
      </w:tblGrid>
      <w:tr w:rsidR="00B254FF" w:rsidRPr="005201C6" w14:paraId="1A64A03B" w14:textId="77777777" w:rsidTr="00767903">
        <w:trPr>
          <w:trHeight w:val="567"/>
          <w:jc w:val="center"/>
        </w:trPr>
        <w:tc>
          <w:tcPr>
            <w:tcW w:w="3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6521ECBC" w14:textId="77777777" w:rsidR="00B254FF" w:rsidRPr="005201C6" w:rsidRDefault="00B254F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بخش</w:t>
            </w:r>
          </w:p>
        </w:tc>
        <w:tc>
          <w:tcPr>
            <w:tcW w:w="5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6183DA90" w14:textId="77777777" w:rsidR="00B254FF" w:rsidRPr="005201C6" w:rsidRDefault="00B254F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شاخص‌</w:t>
            </w:r>
          </w:p>
        </w:tc>
      </w:tr>
      <w:tr w:rsidR="00B254FF" w:rsidRPr="005201C6" w14:paraId="4EB42490" w14:textId="77777777" w:rsidTr="00767903">
        <w:trPr>
          <w:trHeight w:val="567"/>
          <w:jc w:val="center"/>
        </w:trPr>
        <w:tc>
          <w:tcPr>
            <w:tcW w:w="3124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2163A9B6" w14:textId="77777777" w:rsidR="00B254FF" w:rsidRPr="005201C6" w:rsidRDefault="00B254F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b/>
                <w:bCs/>
                <w:color w:val="000000"/>
                <w:rtl/>
              </w:rPr>
              <w:t>عمومی</w:t>
            </w:r>
          </w:p>
        </w:tc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7728064" w14:textId="77777777" w:rsidR="00B254FF" w:rsidRPr="005201C6" w:rsidRDefault="00B254F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کارگاه‌هایی که لیست حق بیمه پرداخته‌اند</w:t>
            </w:r>
          </w:p>
        </w:tc>
      </w:tr>
      <w:tr w:rsidR="00B254FF" w:rsidRPr="005201C6" w14:paraId="451E1C49" w14:textId="77777777" w:rsidTr="00767903">
        <w:trPr>
          <w:trHeight w:val="567"/>
          <w:jc w:val="center"/>
        </w:trPr>
        <w:tc>
          <w:tcPr>
            <w:tcW w:w="3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B96E7" w14:textId="77777777" w:rsidR="00B254FF" w:rsidRPr="005201C6" w:rsidRDefault="00B254FF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noWrap/>
            <w:vAlign w:val="center"/>
            <w:hideMark/>
          </w:tcPr>
          <w:p w14:paraId="3C092004" w14:textId="77777777" w:rsidR="00B254FF" w:rsidRPr="005201C6" w:rsidRDefault="00B254F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کل بیمه‌ شدگان</w:t>
            </w:r>
          </w:p>
        </w:tc>
      </w:tr>
      <w:tr w:rsidR="00B254FF" w:rsidRPr="005201C6" w14:paraId="256CCC66" w14:textId="77777777" w:rsidTr="00767903">
        <w:trPr>
          <w:trHeight w:val="567"/>
          <w:jc w:val="center"/>
        </w:trPr>
        <w:tc>
          <w:tcPr>
            <w:tcW w:w="3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2FE666" w14:textId="77777777" w:rsidR="00B254FF" w:rsidRPr="005201C6" w:rsidRDefault="00B254FF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BA6B4A4" w14:textId="77777777" w:rsidR="00B254FF" w:rsidRPr="005201C6" w:rsidRDefault="00B254F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مقرری بگیران بیمه بیکاری</w:t>
            </w:r>
          </w:p>
        </w:tc>
      </w:tr>
      <w:tr w:rsidR="00B254FF" w:rsidRPr="005201C6" w14:paraId="5720ED1B" w14:textId="77777777" w:rsidTr="00767903">
        <w:trPr>
          <w:trHeight w:val="567"/>
          <w:jc w:val="center"/>
        </w:trPr>
        <w:tc>
          <w:tcPr>
            <w:tcW w:w="312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EA3035" w14:textId="77777777" w:rsidR="00B254FF" w:rsidRPr="005201C6" w:rsidRDefault="00B254FF" w:rsidP="00767903">
            <w:pPr>
              <w:bidi/>
              <w:spacing w:after="0" w:line="240" w:lineRule="auto"/>
              <w:rPr>
                <w:rFonts w:ascii="IPT Nazanin" w:eastAsia="Times New Roman" w:hAnsi="IPT Nazanin" w:cs="B Nazanin"/>
                <w:b/>
                <w:bCs/>
                <w:color w:val="000000"/>
              </w:rPr>
            </w:pPr>
          </w:p>
        </w:tc>
        <w:tc>
          <w:tcPr>
            <w:tcW w:w="5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noWrap/>
            <w:vAlign w:val="center"/>
            <w:hideMark/>
          </w:tcPr>
          <w:p w14:paraId="08484237" w14:textId="77777777" w:rsidR="00B254FF" w:rsidRPr="005201C6" w:rsidRDefault="00B254FF" w:rsidP="00767903">
            <w:pPr>
              <w:bidi/>
              <w:spacing w:after="0" w:line="240" w:lineRule="auto"/>
              <w:jc w:val="center"/>
              <w:rPr>
                <w:rFonts w:ascii="IPT Nazanin" w:eastAsia="Times New Roman" w:hAnsi="IPT Nazanin" w:cs="B Nazanin"/>
                <w:color w:val="000000"/>
                <w:rtl/>
              </w:rPr>
            </w:pPr>
            <w:r w:rsidRPr="005201C6">
              <w:rPr>
                <w:rFonts w:ascii="IPT Nazanin" w:eastAsia="Times New Roman" w:hAnsi="IPT Nazanin" w:cs="B Nazanin"/>
                <w:color w:val="000000"/>
                <w:rtl/>
              </w:rPr>
              <w:t>تعداد کل مستمری بگیران</w:t>
            </w:r>
          </w:p>
        </w:tc>
      </w:tr>
    </w:tbl>
    <w:p w14:paraId="2534F655" w14:textId="77777777" w:rsidR="00B254FF" w:rsidRPr="005201C6" w:rsidRDefault="00B254FF" w:rsidP="00F62BE3">
      <w:pPr>
        <w:bidi/>
        <w:ind w:left="283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منبع : سازمان تامین اجتماعی شهرستان کاشان</w:t>
      </w:r>
      <w:r w:rsidR="00FD04BF">
        <w:rPr>
          <w:rFonts w:ascii="IPT Nazanin" w:hAnsi="IPT Nazanin" w:cs="B Nazanin" w:hint="cs"/>
          <w:sz w:val="24"/>
          <w:szCs w:val="24"/>
          <w:rtl/>
        </w:rPr>
        <w:t>.</w:t>
      </w:r>
    </w:p>
    <w:p w14:paraId="7BDAE654" w14:textId="77777777" w:rsidR="00B254FF" w:rsidRPr="005201C6" w:rsidRDefault="00B254FF" w:rsidP="00B254FF">
      <w:pPr>
        <w:bidi/>
        <w:ind w:left="283"/>
        <w:rPr>
          <w:rFonts w:ascii="IPT Nazanin" w:hAnsi="IPT Nazanin" w:cs="B Nazanin"/>
          <w:sz w:val="24"/>
          <w:szCs w:val="24"/>
          <w:rtl/>
        </w:rPr>
      </w:pPr>
    </w:p>
    <w:p w14:paraId="17C32159" w14:textId="77777777" w:rsidR="00B254FF" w:rsidRPr="005201C6" w:rsidRDefault="00B254FF" w:rsidP="00B254FF">
      <w:pPr>
        <w:bidi/>
        <w:ind w:left="283"/>
        <w:rPr>
          <w:rFonts w:ascii="IPT Nazanin" w:hAnsi="IPT Nazanin" w:cs="B Nazanin"/>
          <w:sz w:val="24"/>
          <w:szCs w:val="24"/>
          <w:rtl/>
        </w:rPr>
      </w:pPr>
    </w:p>
    <w:p w14:paraId="33E31E7C" w14:textId="77777777" w:rsidR="00B254FF" w:rsidRPr="005201C6" w:rsidRDefault="00B254FF" w:rsidP="00E97CFA">
      <w:pPr>
        <w:bidi/>
        <w:rPr>
          <w:rFonts w:ascii="IPT Nazanin" w:hAnsi="IPT Nazanin" w:cs="B Nazanin"/>
          <w:sz w:val="24"/>
          <w:szCs w:val="24"/>
          <w:rtl/>
        </w:rPr>
      </w:pPr>
    </w:p>
    <w:p w14:paraId="2B155C01" w14:textId="77777777" w:rsidR="00B254FF" w:rsidRPr="005201C6" w:rsidRDefault="00B254FF" w:rsidP="00B254FF">
      <w:pPr>
        <w:bidi/>
        <w:ind w:left="283"/>
        <w:rPr>
          <w:rFonts w:ascii="IPT Nazanin" w:hAnsi="IPT Nazanin" w:cs="B Nazanin"/>
          <w:sz w:val="24"/>
          <w:szCs w:val="24"/>
          <w:rtl/>
        </w:rPr>
      </w:pPr>
    </w:p>
    <w:p w14:paraId="6D776DD9" w14:textId="77777777" w:rsidR="00B254FF" w:rsidRPr="005201C6" w:rsidRDefault="00B254FF" w:rsidP="00B254FF">
      <w:pPr>
        <w:bidi/>
        <w:ind w:left="283"/>
        <w:rPr>
          <w:rFonts w:ascii="IPT Nazanin" w:hAnsi="IPT Nazanin" w:cs="B Nazanin"/>
          <w:sz w:val="24"/>
          <w:szCs w:val="24"/>
          <w:rtl/>
        </w:rPr>
      </w:pPr>
    </w:p>
    <w:p w14:paraId="19BE15B8" w14:textId="77777777" w:rsidR="00B254FF" w:rsidRPr="005201C6" w:rsidRDefault="00B254FF" w:rsidP="00B254FF">
      <w:pPr>
        <w:bidi/>
        <w:rPr>
          <w:rFonts w:ascii="IPT Nazanin" w:hAnsi="IPT Nazanin" w:cs="B Nazanin"/>
          <w:b/>
          <w:bCs/>
          <w:sz w:val="26"/>
          <w:szCs w:val="26"/>
          <w:rtl/>
        </w:rPr>
      </w:pPr>
      <w:r w:rsidRPr="005201C6">
        <w:rPr>
          <w:rFonts w:ascii="IPT Nazanin" w:hAnsi="IPT Nazanin" w:cs="B Nazanin"/>
          <w:b/>
          <w:bCs/>
          <w:sz w:val="26"/>
          <w:szCs w:val="26"/>
          <w:rtl/>
        </w:rPr>
        <w:t>1-1- بخش عمومی</w:t>
      </w:r>
    </w:p>
    <w:p w14:paraId="2C53FF4C" w14:textId="77777777" w:rsidR="00B254FF" w:rsidRPr="005201C6" w:rsidRDefault="00B254FF" w:rsidP="00B254F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>جدول(1-1) : اطلاعات مربوط به شاخص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 xml:space="preserve">های بخش عمومی </w:t>
      </w:r>
    </w:p>
    <w:tbl>
      <w:tblPr>
        <w:bidiVisual/>
        <w:tblW w:w="9066" w:type="dxa"/>
        <w:tblLook w:val="04A0" w:firstRow="1" w:lastRow="0" w:firstColumn="1" w:lastColumn="0" w:noHBand="0" w:noVBand="1"/>
      </w:tblPr>
      <w:tblGrid>
        <w:gridCol w:w="3318"/>
        <w:gridCol w:w="1165"/>
        <w:gridCol w:w="909"/>
        <w:gridCol w:w="909"/>
        <w:gridCol w:w="909"/>
        <w:gridCol w:w="947"/>
        <w:gridCol w:w="909"/>
      </w:tblGrid>
      <w:tr w:rsidR="00F62BE3" w:rsidRPr="00F62BE3" w14:paraId="679DAE4C" w14:textId="77777777" w:rsidTr="00F62BE3">
        <w:trPr>
          <w:trHeight w:val="398"/>
        </w:trPr>
        <w:tc>
          <w:tcPr>
            <w:tcW w:w="33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2D75DD14" w14:textId="77777777" w:rsidR="00F62BE3" w:rsidRPr="00F62BE3" w:rsidRDefault="00F62BE3" w:rsidP="00F62BE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F62BE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شاخص‌ها</w:t>
            </w:r>
          </w:p>
        </w:tc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vAlign w:val="center"/>
            <w:hideMark/>
          </w:tcPr>
          <w:p w14:paraId="1DAF1345" w14:textId="77777777" w:rsidR="00F62BE3" w:rsidRPr="00F62BE3" w:rsidRDefault="00F62BE3" w:rsidP="00F62BE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F62BE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معیارسنجش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60831116" w14:textId="77777777" w:rsidR="00F62BE3" w:rsidRPr="00F62BE3" w:rsidRDefault="00F62BE3" w:rsidP="00F62BE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F62BE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سال94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1F335CB9" w14:textId="77777777" w:rsidR="00F62BE3" w:rsidRPr="00F62BE3" w:rsidRDefault="00F62BE3" w:rsidP="00F62BE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F62BE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سال95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1078F5FC" w14:textId="77777777" w:rsidR="00F62BE3" w:rsidRPr="00F62BE3" w:rsidRDefault="00F62BE3" w:rsidP="00F62BE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F62BE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سال96</w:t>
            </w:r>
          </w:p>
        </w:tc>
        <w:tc>
          <w:tcPr>
            <w:tcW w:w="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0B8170AF" w14:textId="77777777" w:rsidR="00F62BE3" w:rsidRPr="00F62BE3" w:rsidRDefault="00F62BE3" w:rsidP="00F62BE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F62BE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سال97</w:t>
            </w:r>
          </w:p>
        </w:tc>
        <w:tc>
          <w:tcPr>
            <w:tcW w:w="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7FCC9C86" w14:textId="77777777" w:rsidR="00F62BE3" w:rsidRPr="00F62BE3" w:rsidRDefault="00F62BE3" w:rsidP="00F62BE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F62BE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سال98</w:t>
            </w:r>
          </w:p>
        </w:tc>
      </w:tr>
      <w:tr w:rsidR="00F62BE3" w:rsidRPr="00F62BE3" w14:paraId="50A2E89F" w14:textId="77777777" w:rsidTr="00F62BE3">
        <w:trPr>
          <w:trHeight w:val="849"/>
        </w:trPr>
        <w:tc>
          <w:tcPr>
            <w:tcW w:w="3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27348FEC" w14:textId="77777777" w:rsidR="00F62BE3" w:rsidRPr="00F62BE3" w:rsidRDefault="00F62BE3" w:rsidP="00F62BE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rtl/>
              </w:rPr>
            </w:pPr>
            <w:r w:rsidRPr="00F62BE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>کارگاه‌های که لیست حق بیمه را پرداخته اند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82234F" w14:textId="77777777" w:rsidR="00F62BE3" w:rsidRPr="00F62BE3" w:rsidRDefault="00F62BE3" w:rsidP="00F62BE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62BE3">
              <w:rPr>
                <w:rFonts w:ascii="Calibri" w:eastAsia="Times New Roman" w:hAnsi="Calibri" w:cs="B Nazanin" w:hint="cs"/>
                <w:color w:val="000000"/>
                <w:rtl/>
              </w:rPr>
              <w:t>تعداد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479E" w14:textId="77777777" w:rsidR="00F62BE3" w:rsidRPr="00F62BE3" w:rsidRDefault="00F62BE3" w:rsidP="00F62BE3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  <w:rtl/>
              </w:rPr>
            </w:pPr>
            <w:r w:rsidRPr="00F62BE3">
              <w:rPr>
                <w:rFonts w:ascii="IPT Nazanin" w:eastAsia="Times New Roman" w:hAnsi="IPT Nazanin" w:cs="Calibri"/>
                <w:color w:val="000000"/>
              </w:rPr>
              <w:t>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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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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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7561E7" w14:textId="77777777" w:rsidR="00F62BE3" w:rsidRPr="00F62BE3" w:rsidRDefault="00F62BE3" w:rsidP="00F62BE3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F62BE3">
              <w:rPr>
                <w:rFonts w:ascii="IPT Nazanin" w:eastAsia="Times New Roman" w:hAnsi="IPT Nazanin" w:cs="Calibri"/>
                <w:color w:val="000000"/>
              </w:rPr>
              <w:t>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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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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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984CF" w14:textId="77777777" w:rsidR="00F62BE3" w:rsidRPr="00F62BE3" w:rsidRDefault="00F62BE3" w:rsidP="00F62BE3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F62BE3">
              <w:rPr>
                <w:rFonts w:ascii="IPT Nazanin" w:eastAsia="Times New Roman" w:hAnsi="IPT Nazanin" w:cs="Calibri"/>
                <w:color w:val="000000"/>
              </w:rPr>
              <w:t>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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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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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89AEB" w14:textId="77777777" w:rsidR="00F62BE3" w:rsidRPr="00F62BE3" w:rsidRDefault="00F62BE3" w:rsidP="00F62BE3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F62BE3">
              <w:rPr>
                <w:rFonts w:ascii="IPT Nazanin" w:eastAsia="Times New Roman" w:hAnsi="IPT Nazanin" w:cs="Calibri"/>
                <w:color w:val="000000"/>
              </w:rPr>
              <w:t>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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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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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BF92B" w14:textId="77777777" w:rsidR="00F62BE3" w:rsidRPr="00F62BE3" w:rsidRDefault="00F62BE3" w:rsidP="00F62BE3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F62BE3">
              <w:rPr>
                <w:rFonts w:ascii="IPT Nazanin" w:eastAsia="Times New Roman" w:hAnsi="IPT Nazanin" w:cs="Calibri"/>
                <w:color w:val="000000"/>
              </w:rPr>
              <w:t>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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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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</w:t>
            </w:r>
          </w:p>
        </w:tc>
      </w:tr>
      <w:tr w:rsidR="00F62BE3" w:rsidRPr="00F62BE3" w14:paraId="7765EEEF" w14:textId="77777777" w:rsidTr="00F62BE3">
        <w:trPr>
          <w:trHeight w:val="849"/>
        </w:trPr>
        <w:tc>
          <w:tcPr>
            <w:tcW w:w="3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14C2FB4C" w14:textId="77777777" w:rsidR="00F62BE3" w:rsidRPr="00F62BE3" w:rsidRDefault="00F62BE3" w:rsidP="00F62BE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F62BE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 کل بیمه شدگان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noWrap/>
            <w:vAlign w:val="center"/>
            <w:hideMark/>
          </w:tcPr>
          <w:p w14:paraId="172F5CCB" w14:textId="77777777" w:rsidR="00F62BE3" w:rsidRPr="00F62BE3" w:rsidRDefault="00F62BE3" w:rsidP="00F62BE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62BE3">
              <w:rPr>
                <w:rFonts w:ascii="Calibri" w:eastAsia="Times New Roman" w:hAnsi="Calibri" w:cs="B Nazanin" w:hint="cs"/>
                <w:color w:val="000000"/>
                <w:rtl/>
              </w:rPr>
              <w:t>نفر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noWrap/>
            <w:vAlign w:val="center"/>
            <w:hideMark/>
          </w:tcPr>
          <w:p w14:paraId="0F07847B" w14:textId="77777777" w:rsidR="00F62BE3" w:rsidRPr="00F62BE3" w:rsidRDefault="00F62BE3" w:rsidP="00F62BE3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  <w:rtl/>
              </w:rPr>
            </w:pPr>
            <w:r w:rsidRPr="00F62BE3">
              <w:rPr>
                <w:rFonts w:ascii="IPT Nazanin" w:eastAsia="Times New Roman" w:hAnsi="IPT Nazanin" w:cs="Calibri"/>
                <w:color w:val="000000"/>
              </w:rPr>
              <w:t>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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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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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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noWrap/>
            <w:vAlign w:val="center"/>
            <w:hideMark/>
          </w:tcPr>
          <w:p w14:paraId="2E722705" w14:textId="77777777" w:rsidR="00F62BE3" w:rsidRPr="00F62BE3" w:rsidRDefault="00F62BE3" w:rsidP="00F62BE3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F62BE3">
              <w:rPr>
                <w:rFonts w:ascii="IPT Nazanin" w:eastAsia="Times New Roman" w:hAnsi="IPT Nazanin" w:cs="Calibri"/>
                <w:color w:val="000000"/>
              </w:rPr>
              <w:t>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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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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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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noWrap/>
            <w:vAlign w:val="center"/>
            <w:hideMark/>
          </w:tcPr>
          <w:p w14:paraId="6C4FB777" w14:textId="77777777" w:rsidR="00F62BE3" w:rsidRPr="00F62BE3" w:rsidRDefault="00F62BE3" w:rsidP="00F62BE3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F62BE3">
              <w:rPr>
                <w:rFonts w:ascii="IPT Nazanin" w:eastAsia="Times New Roman" w:hAnsi="IPT Nazanin" w:cs="Calibri"/>
                <w:color w:val="000000"/>
              </w:rPr>
              <w:t>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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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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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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noWrap/>
            <w:vAlign w:val="center"/>
            <w:hideMark/>
          </w:tcPr>
          <w:p w14:paraId="493E4977" w14:textId="77777777" w:rsidR="00F62BE3" w:rsidRPr="00F62BE3" w:rsidRDefault="00F62BE3" w:rsidP="00F62BE3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F62BE3">
              <w:rPr>
                <w:rFonts w:ascii="IPT Nazanin" w:eastAsia="Times New Roman" w:hAnsi="IPT Nazanin" w:cs="Calibri"/>
                <w:color w:val="000000"/>
              </w:rPr>
              <w:t>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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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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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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noWrap/>
            <w:vAlign w:val="center"/>
            <w:hideMark/>
          </w:tcPr>
          <w:p w14:paraId="7595302C" w14:textId="77777777" w:rsidR="00F62BE3" w:rsidRPr="00F62BE3" w:rsidRDefault="00F62BE3" w:rsidP="00F62BE3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F62BE3">
              <w:rPr>
                <w:rFonts w:ascii="IPT Nazanin" w:eastAsia="Times New Roman" w:hAnsi="IPT Nazanin" w:cs="Calibri"/>
                <w:color w:val="000000"/>
              </w:rPr>
              <w:t>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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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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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</w:t>
            </w:r>
          </w:p>
        </w:tc>
      </w:tr>
      <w:tr w:rsidR="00F62BE3" w:rsidRPr="00F62BE3" w14:paraId="456FCEF5" w14:textId="77777777" w:rsidTr="00F62BE3">
        <w:trPr>
          <w:trHeight w:val="849"/>
        </w:trPr>
        <w:tc>
          <w:tcPr>
            <w:tcW w:w="3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1C8C36D8" w14:textId="77777777" w:rsidR="00F62BE3" w:rsidRPr="00F62BE3" w:rsidRDefault="00F62BE3" w:rsidP="00F62BE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F62BE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 کل بیمه شدگان بیکاری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0C539" w14:textId="77777777" w:rsidR="00F62BE3" w:rsidRPr="00F62BE3" w:rsidRDefault="00F62BE3" w:rsidP="00F62BE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62BE3">
              <w:rPr>
                <w:rFonts w:ascii="Calibri" w:eastAsia="Times New Roman" w:hAnsi="Calibri" w:cs="B Nazanin" w:hint="cs"/>
                <w:color w:val="000000"/>
                <w:rtl/>
              </w:rPr>
              <w:t>نفر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B03DB" w14:textId="77777777" w:rsidR="00F62BE3" w:rsidRPr="00F62BE3" w:rsidRDefault="00F62BE3" w:rsidP="00F62BE3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  <w:rtl/>
              </w:rPr>
            </w:pPr>
            <w:r w:rsidRPr="00F62BE3">
              <w:rPr>
                <w:rFonts w:ascii="IPT Nazanin" w:eastAsia="Times New Roman" w:hAnsi="IPT Nazanin" w:cs="Calibri"/>
                <w:color w:val="000000"/>
              </w:rPr>
              <w:t>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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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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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0FD4D6" w14:textId="77777777" w:rsidR="00F62BE3" w:rsidRPr="00F62BE3" w:rsidRDefault="00F62BE3" w:rsidP="00F62BE3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F62BE3">
              <w:rPr>
                <w:rFonts w:ascii="IPT Nazanin" w:eastAsia="Times New Roman" w:hAnsi="IPT Nazanin" w:cs="Calibri"/>
                <w:color w:val="000000"/>
              </w:rPr>
              <w:t>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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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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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4B4E9" w14:textId="77777777" w:rsidR="00F62BE3" w:rsidRPr="00F62BE3" w:rsidRDefault="00F62BE3" w:rsidP="00F62BE3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F62BE3">
              <w:rPr>
                <w:rFonts w:ascii="IPT Nazanin" w:eastAsia="Times New Roman" w:hAnsi="IPT Nazanin" w:cs="Calibri"/>
                <w:color w:val="000000"/>
              </w:rPr>
              <w:t>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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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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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D3E10" w14:textId="77777777" w:rsidR="00F62BE3" w:rsidRPr="00F62BE3" w:rsidRDefault="00F62BE3" w:rsidP="00F62BE3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F62BE3">
              <w:rPr>
                <w:rFonts w:ascii="IPT Nazanin" w:eastAsia="Times New Roman" w:hAnsi="IPT Nazanin" w:cs="Calibri"/>
                <w:color w:val="000000"/>
              </w:rPr>
              <w:t>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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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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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2D4F0" w14:textId="77777777" w:rsidR="00F62BE3" w:rsidRPr="00F62BE3" w:rsidRDefault="00F62BE3" w:rsidP="00F62BE3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F62BE3">
              <w:rPr>
                <w:rFonts w:ascii="IPT Nazanin" w:eastAsia="Times New Roman" w:hAnsi="IPT Nazanin" w:cs="Calibri"/>
                <w:color w:val="000000"/>
              </w:rPr>
              <w:t>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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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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</w:t>
            </w:r>
          </w:p>
        </w:tc>
      </w:tr>
      <w:tr w:rsidR="00F62BE3" w:rsidRPr="00F62BE3" w14:paraId="3235E8C7" w14:textId="77777777" w:rsidTr="00F62BE3">
        <w:trPr>
          <w:trHeight w:val="849"/>
        </w:trPr>
        <w:tc>
          <w:tcPr>
            <w:tcW w:w="33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CE3EE"/>
            <w:noWrap/>
            <w:vAlign w:val="center"/>
            <w:hideMark/>
          </w:tcPr>
          <w:p w14:paraId="6D6369B0" w14:textId="77777777" w:rsidR="00F62BE3" w:rsidRPr="00F62BE3" w:rsidRDefault="00F62BE3" w:rsidP="00F62BE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b/>
                <w:bCs/>
                <w:color w:val="000000"/>
              </w:rPr>
            </w:pPr>
            <w:r w:rsidRPr="00F62BE3">
              <w:rPr>
                <w:rFonts w:ascii="Calibri" w:eastAsia="Times New Roman" w:hAnsi="Calibri" w:cs="B Nazanin" w:hint="cs"/>
                <w:b/>
                <w:bCs/>
                <w:color w:val="000000"/>
                <w:rtl/>
              </w:rPr>
              <w:t xml:space="preserve"> کل مستمری بگیران</w:t>
            </w:r>
          </w:p>
        </w:tc>
        <w:tc>
          <w:tcPr>
            <w:tcW w:w="11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noWrap/>
            <w:vAlign w:val="center"/>
            <w:hideMark/>
          </w:tcPr>
          <w:p w14:paraId="19DA793B" w14:textId="77777777" w:rsidR="00F62BE3" w:rsidRPr="00F62BE3" w:rsidRDefault="00F62BE3" w:rsidP="00F62BE3">
            <w:pPr>
              <w:bidi/>
              <w:spacing w:after="0" w:line="240" w:lineRule="auto"/>
              <w:jc w:val="center"/>
              <w:rPr>
                <w:rFonts w:ascii="Calibri" w:eastAsia="Times New Roman" w:hAnsi="Calibri" w:cs="B Nazanin"/>
                <w:color w:val="000000"/>
                <w:rtl/>
              </w:rPr>
            </w:pPr>
            <w:r w:rsidRPr="00F62BE3">
              <w:rPr>
                <w:rFonts w:ascii="Calibri" w:eastAsia="Times New Roman" w:hAnsi="Calibri" w:cs="B Nazanin" w:hint="cs"/>
                <w:color w:val="000000"/>
                <w:rtl/>
              </w:rPr>
              <w:t>نفر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noWrap/>
            <w:vAlign w:val="center"/>
            <w:hideMark/>
          </w:tcPr>
          <w:p w14:paraId="6D697C4F" w14:textId="77777777" w:rsidR="00F62BE3" w:rsidRPr="00F62BE3" w:rsidRDefault="00F62BE3" w:rsidP="00F62BE3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  <w:rtl/>
              </w:rPr>
            </w:pPr>
            <w:r w:rsidRPr="00F62BE3">
              <w:rPr>
                <w:rFonts w:ascii="IPT Nazanin" w:eastAsia="Times New Roman" w:hAnsi="IPT Nazanin" w:cs="Calibri"/>
                <w:color w:val="000000"/>
              </w:rPr>
              <w:t>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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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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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noWrap/>
            <w:vAlign w:val="center"/>
            <w:hideMark/>
          </w:tcPr>
          <w:p w14:paraId="02D2E587" w14:textId="77777777" w:rsidR="00F62BE3" w:rsidRPr="00F62BE3" w:rsidRDefault="00F62BE3" w:rsidP="00F62BE3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F62BE3">
              <w:rPr>
                <w:rFonts w:ascii="IPT Nazanin" w:eastAsia="Times New Roman" w:hAnsi="IPT Nazanin" w:cs="Calibri"/>
                <w:color w:val="000000"/>
              </w:rPr>
              <w:t>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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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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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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noWrap/>
            <w:vAlign w:val="center"/>
            <w:hideMark/>
          </w:tcPr>
          <w:p w14:paraId="6FBC2536" w14:textId="77777777" w:rsidR="00F62BE3" w:rsidRPr="00F62BE3" w:rsidRDefault="00F62BE3" w:rsidP="00F62BE3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F62BE3">
              <w:rPr>
                <w:rFonts w:ascii="IPT Nazanin" w:eastAsia="Times New Roman" w:hAnsi="IPT Nazanin" w:cs="Calibri"/>
                <w:color w:val="000000"/>
              </w:rPr>
              <w:t>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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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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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</w:t>
            </w:r>
          </w:p>
        </w:tc>
        <w:tc>
          <w:tcPr>
            <w:tcW w:w="94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noWrap/>
            <w:vAlign w:val="center"/>
            <w:hideMark/>
          </w:tcPr>
          <w:p w14:paraId="1FEC792A" w14:textId="77777777" w:rsidR="00F62BE3" w:rsidRPr="00F62BE3" w:rsidRDefault="00F62BE3" w:rsidP="00F62BE3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F62BE3">
              <w:rPr>
                <w:rFonts w:ascii="IPT Nazanin" w:eastAsia="Times New Roman" w:hAnsi="IPT Nazanin" w:cs="Calibri"/>
                <w:color w:val="000000"/>
              </w:rPr>
              <w:t>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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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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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</w:t>
            </w:r>
          </w:p>
        </w:tc>
        <w:tc>
          <w:tcPr>
            <w:tcW w:w="9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3FBFF"/>
            <w:noWrap/>
            <w:vAlign w:val="center"/>
            <w:hideMark/>
          </w:tcPr>
          <w:p w14:paraId="4DF10411" w14:textId="77777777" w:rsidR="00F62BE3" w:rsidRPr="00F62BE3" w:rsidRDefault="00F62BE3" w:rsidP="00F62BE3">
            <w:pPr>
              <w:spacing w:after="0" w:line="240" w:lineRule="auto"/>
              <w:jc w:val="center"/>
              <w:rPr>
                <w:rFonts w:ascii="IPT Nazanin" w:eastAsia="Times New Roman" w:hAnsi="IPT Nazanin" w:cs="Calibri"/>
                <w:color w:val="000000"/>
              </w:rPr>
            </w:pPr>
            <w:r w:rsidRPr="00F62BE3">
              <w:rPr>
                <w:rFonts w:ascii="IPT Nazanin" w:eastAsia="Times New Roman" w:hAnsi="IPT Nazanin" w:cs="Calibri"/>
                <w:color w:val="000000"/>
              </w:rPr>
              <w:t>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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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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</w:t>
            </w:r>
            <w:r w:rsidRPr="00F62BE3">
              <w:rPr>
                <w:rFonts w:ascii="IPT Nazanin" w:eastAsia="Times New Roman" w:hAnsi="IPT Nazanin" w:cs="Calibri"/>
                <w:color w:val="000000"/>
              </w:rPr>
              <w:t></w:t>
            </w:r>
          </w:p>
        </w:tc>
      </w:tr>
    </w:tbl>
    <w:p w14:paraId="592FE3A6" w14:textId="77777777" w:rsidR="00B254FF" w:rsidRDefault="00B254FF" w:rsidP="00B254FF">
      <w:pPr>
        <w:bidi/>
        <w:spacing w:after="0" w:line="240" w:lineRule="auto"/>
        <w:rPr>
          <w:rFonts w:ascii="IPT Nazanin" w:hAnsi="IPT Nazanin" w:cs="B Nazanin"/>
          <w:sz w:val="24"/>
          <w:szCs w:val="24"/>
          <w:rtl/>
        </w:rPr>
      </w:pPr>
    </w:p>
    <w:p w14:paraId="1D3D2A7A" w14:textId="77777777" w:rsidR="00F62BE3" w:rsidRPr="005201C6" w:rsidRDefault="00F62BE3" w:rsidP="00F62BE3">
      <w:pPr>
        <w:bidi/>
        <w:spacing w:after="0" w:line="240" w:lineRule="auto"/>
        <w:rPr>
          <w:rFonts w:ascii="IPT Nazanin" w:hAnsi="IPT Nazanin" w:cs="B Nazanin"/>
          <w:sz w:val="24"/>
          <w:szCs w:val="24"/>
          <w:rtl/>
        </w:rPr>
      </w:pPr>
    </w:p>
    <w:p w14:paraId="4E93559F" w14:textId="77777777" w:rsidR="00B254FF" w:rsidRPr="005201C6" w:rsidRDefault="00B254FF" w:rsidP="00B254FF">
      <w:pPr>
        <w:bidi/>
        <w:spacing w:after="0" w:line="240" w:lineRule="auto"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>نمودار(1-1): تعداد کارگاه‌هایی که لیست حق بیمه پرداخته‌اند</w:t>
      </w:r>
    </w:p>
    <w:p w14:paraId="0548A3A9" w14:textId="77777777" w:rsidR="00B254FF" w:rsidRPr="005201C6" w:rsidRDefault="00F62BE3" w:rsidP="00B254F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</w:rPr>
        <w:drawing>
          <wp:inline distT="0" distB="0" distL="0" distR="0" wp14:anchorId="7D788462" wp14:editId="137B9280">
            <wp:extent cx="5754848" cy="2099310"/>
            <wp:effectExtent l="76200" t="76200" r="74930" b="7239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4"/>
              </a:graphicData>
            </a:graphic>
          </wp:inline>
        </w:drawing>
      </w:r>
    </w:p>
    <w:p w14:paraId="4EBB3747" w14:textId="2755EE6B" w:rsidR="00B254FF" w:rsidRPr="005201C6" w:rsidRDefault="00B254FF" w:rsidP="00607726">
      <w:pPr>
        <w:bidi/>
        <w:spacing w:line="240" w:lineRule="auto"/>
        <w:ind w:left="227" w:right="283"/>
        <w:jc w:val="both"/>
        <w:rPr>
          <w:rFonts w:ascii="IPT Nazanin" w:hAnsi="IPT Nazanin" w:cs="B Nazanin" w:hint="cs"/>
          <w:sz w:val="24"/>
          <w:szCs w:val="24"/>
          <w:rtl/>
          <w:lang w:bidi="fa-IR"/>
        </w:rPr>
      </w:pPr>
      <w:r w:rsidRPr="005201C6">
        <w:rPr>
          <w:rFonts w:ascii="IPT Nazanin" w:hAnsi="IPT Nazanin" w:cs="B Nazanin"/>
          <w:sz w:val="24"/>
          <w:szCs w:val="24"/>
          <w:rtl/>
        </w:rPr>
        <w:t>تعداد کارگاه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>هایی که حق بیمه پرداخت می‌کنند در بین سال</w:t>
      </w:r>
      <w:r w:rsidRPr="005201C6">
        <w:rPr>
          <w:rFonts w:ascii="IPT Nazanin" w:hAnsi="IPT Nazanin" w:cs="B Nazanin"/>
          <w:sz w:val="24"/>
          <w:szCs w:val="24"/>
          <w:rtl/>
        </w:rPr>
        <w:softHyphen/>
        <w:t xml:space="preserve">های </w:t>
      </w:r>
      <w:r w:rsidR="00607726">
        <w:rPr>
          <w:rFonts w:ascii="IPT Nazanin" w:hAnsi="IPT Nazanin" w:cs="B Nazanin" w:hint="cs"/>
          <w:sz w:val="24"/>
          <w:szCs w:val="24"/>
          <w:rtl/>
        </w:rPr>
        <w:t>98</w:t>
      </w:r>
      <w:r w:rsidRPr="005201C6">
        <w:rPr>
          <w:rFonts w:ascii="IPT Nazanin" w:hAnsi="IPT Nazanin" w:cs="B Nazanin"/>
          <w:sz w:val="24"/>
          <w:szCs w:val="24"/>
          <w:rtl/>
        </w:rPr>
        <w:t>-</w:t>
      </w:r>
      <w:r w:rsidR="00607726">
        <w:rPr>
          <w:rFonts w:ascii="IPT Nazanin" w:hAnsi="IPT Nazanin" w:cs="B Nazanin" w:hint="cs"/>
          <w:sz w:val="24"/>
          <w:szCs w:val="24"/>
          <w:rtl/>
        </w:rPr>
        <w:t>94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کاهش </w:t>
      </w:r>
      <w:r w:rsidR="00607726">
        <w:rPr>
          <w:rFonts w:ascii="IPT Nazanin" w:hAnsi="IPT Nazanin" w:cs="B Nazanin" w:hint="cs"/>
          <w:sz w:val="24"/>
          <w:szCs w:val="24"/>
          <w:rtl/>
        </w:rPr>
        <w:t xml:space="preserve">قابل تاملی </w:t>
      </w:r>
      <w:r w:rsidRPr="005201C6">
        <w:rPr>
          <w:rFonts w:ascii="IPT Nazanin" w:hAnsi="IPT Nazanin" w:cs="B Nazanin"/>
          <w:sz w:val="24"/>
          <w:szCs w:val="24"/>
          <w:rtl/>
        </w:rPr>
        <w:t>پیدا کرده است. این روند در سال 96 افزایش کندی نسبت به سال 95 داشته است.</w:t>
      </w:r>
      <w:r w:rsidR="003C1DC7">
        <w:rPr>
          <w:rFonts w:ascii="IPT Nazanin" w:hAnsi="IPT Nazanin" w:cs="B Nazanin" w:hint="cs"/>
          <w:sz w:val="24"/>
          <w:szCs w:val="24"/>
          <w:rtl/>
          <w:lang w:bidi="fa-IR"/>
        </w:rPr>
        <w:t xml:space="preserve"> در مجموع، این شاخص جای سوالی را برای مدیران و سیاست گذاران این حوزه مطرح می کند.</w:t>
      </w:r>
    </w:p>
    <w:p w14:paraId="7F447110" w14:textId="77777777" w:rsidR="00B254FF" w:rsidRPr="005201C6" w:rsidRDefault="00B254FF" w:rsidP="00B254F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7FB25D95" w14:textId="77777777" w:rsidR="00B254FF" w:rsidRPr="005201C6" w:rsidRDefault="00B254FF" w:rsidP="00B254F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نمودار(1-2): تعداد کل بیمه شدگان </w:t>
      </w:r>
    </w:p>
    <w:p w14:paraId="78BD172F" w14:textId="77777777" w:rsidR="00B254FF" w:rsidRPr="005201C6" w:rsidRDefault="00F62BE3" w:rsidP="00B254F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</w:rPr>
        <w:drawing>
          <wp:inline distT="0" distB="0" distL="0" distR="0" wp14:anchorId="06AFE563" wp14:editId="24FFB2E0">
            <wp:extent cx="5771626" cy="2358390"/>
            <wp:effectExtent l="76200" t="76200" r="76835" b="80010"/>
            <wp:docPr id="1" name="Chart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5"/>
              </a:graphicData>
            </a:graphic>
          </wp:inline>
        </w:drawing>
      </w:r>
    </w:p>
    <w:p w14:paraId="092F623C" w14:textId="4E43A9CD" w:rsidR="00B254FF" w:rsidRPr="005201C6" w:rsidRDefault="00B254FF" w:rsidP="00607726">
      <w:pPr>
        <w:bidi/>
        <w:ind w:left="227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بیمه شدگان تامین اجتماعی </w:t>
      </w:r>
      <w:r w:rsidR="00607726">
        <w:rPr>
          <w:rFonts w:ascii="IPT Nazanin" w:hAnsi="IPT Nazanin" w:cs="B Nazanin" w:hint="cs"/>
          <w:sz w:val="24"/>
          <w:szCs w:val="24"/>
          <w:rtl/>
        </w:rPr>
        <w:t xml:space="preserve">در سال 95 روند کاهشی داشته </w:t>
      </w:r>
      <w:r w:rsidR="008775D3">
        <w:rPr>
          <w:rFonts w:ascii="IPT Nazanin" w:hAnsi="IPT Nazanin" w:cs="B Nazanin" w:hint="cs"/>
          <w:sz w:val="24"/>
          <w:szCs w:val="24"/>
          <w:rtl/>
        </w:rPr>
        <w:t>است اما</w:t>
      </w:r>
      <w:r w:rsidR="00607726">
        <w:rPr>
          <w:rFonts w:ascii="IPT Nazanin" w:hAnsi="IPT Nazanin" w:cs="B Nazanin" w:hint="cs"/>
          <w:sz w:val="24"/>
          <w:szCs w:val="24"/>
          <w:rtl/>
        </w:rPr>
        <w:t xml:space="preserve"> در سال 96 روند افزایشی به خود گرفته</w:t>
      </w:r>
      <w:r w:rsidR="008775D3">
        <w:rPr>
          <w:rFonts w:ascii="IPT Nazanin" w:hAnsi="IPT Nazanin" w:cs="B Nazanin" w:hint="cs"/>
          <w:sz w:val="24"/>
          <w:szCs w:val="24"/>
          <w:rtl/>
        </w:rPr>
        <w:t xml:space="preserve"> و</w:t>
      </w:r>
      <w:r w:rsidR="00607726">
        <w:rPr>
          <w:rFonts w:ascii="IPT Nazanin" w:hAnsi="IPT Nazanin" w:cs="B Nazanin" w:hint="cs"/>
          <w:sz w:val="24"/>
          <w:szCs w:val="24"/>
          <w:rtl/>
        </w:rPr>
        <w:t xml:space="preserve"> سپس مجددا تا سال 98 روند کاهشی را تجربه کرده است.</w:t>
      </w:r>
    </w:p>
    <w:p w14:paraId="79D84A85" w14:textId="77777777" w:rsidR="00B254FF" w:rsidRDefault="00B254FF" w:rsidP="00B254F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79AFCF64" w14:textId="77777777" w:rsidR="00F62BE3" w:rsidRDefault="00F62BE3" w:rsidP="00F62BE3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68B431ED" w14:textId="77777777" w:rsidR="00F62BE3" w:rsidRDefault="00F62BE3" w:rsidP="00F62BE3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79AD6306" w14:textId="77777777" w:rsidR="00B254FF" w:rsidRPr="005201C6" w:rsidRDefault="00B254FF" w:rsidP="00B254F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lastRenderedPageBreak/>
        <w:t xml:space="preserve">نمودار(1-3): تعداد کل بیمه‌ شدگان بیکاری </w:t>
      </w:r>
    </w:p>
    <w:p w14:paraId="0BBCD9A4" w14:textId="77777777" w:rsidR="00B254FF" w:rsidRPr="005201C6" w:rsidRDefault="008D44EC" w:rsidP="00B254F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</w:rPr>
        <w:drawing>
          <wp:inline distT="0" distB="0" distL="0" distR="0" wp14:anchorId="007DFFCA" wp14:editId="7CCA95A3">
            <wp:extent cx="5812761" cy="2106930"/>
            <wp:effectExtent l="76200" t="76200" r="74295" b="83820"/>
            <wp:docPr id="5" name="Chart 5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6"/>
              </a:graphicData>
            </a:graphic>
          </wp:inline>
        </w:drawing>
      </w:r>
    </w:p>
    <w:p w14:paraId="66F610D0" w14:textId="3497565E" w:rsidR="00B254FF" w:rsidRPr="005201C6" w:rsidRDefault="00B254FF" w:rsidP="00607726">
      <w:pPr>
        <w:bidi/>
        <w:ind w:left="227" w:right="510"/>
        <w:jc w:val="both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</w:t>
      </w:r>
      <w:r w:rsidR="008775D3">
        <w:rPr>
          <w:rFonts w:ascii="IPT Nazanin" w:hAnsi="IPT Nazanin" w:cs="B Nazanin" w:hint="cs"/>
          <w:sz w:val="24"/>
          <w:szCs w:val="24"/>
          <w:rtl/>
        </w:rPr>
        <w:t xml:space="preserve">کل 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بیمه شدگان بیکاری تامین اجتماعی شهرستان </w:t>
      </w:r>
      <w:r w:rsidR="00607726">
        <w:rPr>
          <w:rFonts w:ascii="IPT Nazanin" w:hAnsi="IPT Nazanin" w:cs="B Nazanin" w:hint="cs"/>
          <w:sz w:val="24"/>
          <w:szCs w:val="24"/>
          <w:rtl/>
        </w:rPr>
        <w:t>تا</w:t>
      </w:r>
      <w:r w:rsidRPr="005201C6">
        <w:rPr>
          <w:rFonts w:ascii="IPT Nazanin" w:hAnsi="IPT Nazanin" w:cs="B Nazanin"/>
          <w:sz w:val="24"/>
          <w:szCs w:val="24"/>
          <w:rtl/>
        </w:rPr>
        <w:t xml:space="preserve"> </w:t>
      </w:r>
      <w:r w:rsidR="00607726">
        <w:rPr>
          <w:rFonts w:ascii="IPT Nazanin" w:hAnsi="IPT Nazanin" w:cs="B Nazanin" w:hint="cs"/>
          <w:sz w:val="24"/>
          <w:szCs w:val="24"/>
          <w:rtl/>
        </w:rPr>
        <w:t xml:space="preserve">سال 97 </w:t>
      </w:r>
      <w:r w:rsidR="00607726">
        <w:rPr>
          <w:rFonts w:ascii="IPT Nazanin" w:hAnsi="IPT Nazanin" w:cs="B Nazanin"/>
          <w:sz w:val="24"/>
          <w:szCs w:val="24"/>
          <w:rtl/>
        </w:rPr>
        <w:t>افزایش یافته است</w:t>
      </w:r>
      <w:r w:rsidR="00607726">
        <w:rPr>
          <w:rFonts w:ascii="IPT Nazanin" w:hAnsi="IPT Nazanin" w:cs="B Nazanin" w:hint="cs"/>
          <w:sz w:val="24"/>
          <w:szCs w:val="24"/>
          <w:rtl/>
        </w:rPr>
        <w:t xml:space="preserve"> اما در سال 98 کاهش داشته است.</w:t>
      </w:r>
    </w:p>
    <w:p w14:paraId="08EFEA29" w14:textId="77777777" w:rsidR="00B254FF" w:rsidRPr="005201C6" w:rsidRDefault="00B254FF" w:rsidP="00B254F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</w:p>
    <w:p w14:paraId="76F6DE43" w14:textId="77777777" w:rsidR="00B254FF" w:rsidRPr="005201C6" w:rsidRDefault="00B254FF" w:rsidP="008D44EC">
      <w:pPr>
        <w:bidi/>
        <w:rPr>
          <w:rFonts w:ascii="IPT Nazanin" w:hAnsi="IPT Nazanin" w:cs="B Nazanin"/>
          <w:sz w:val="24"/>
          <w:szCs w:val="24"/>
          <w:rtl/>
        </w:rPr>
      </w:pPr>
    </w:p>
    <w:p w14:paraId="77B9B975" w14:textId="77777777" w:rsidR="00B254FF" w:rsidRPr="005201C6" w:rsidRDefault="00B254FF" w:rsidP="00E97CFA">
      <w:pPr>
        <w:bidi/>
        <w:rPr>
          <w:rFonts w:ascii="IPT Nazanin" w:hAnsi="IPT Nazanin" w:cs="B Nazanin"/>
          <w:sz w:val="24"/>
          <w:szCs w:val="24"/>
          <w:rtl/>
        </w:rPr>
      </w:pPr>
    </w:p>
    <w:p w14:paraId="2B0CA6EE" w14:textId="77777777" w:rsidR="00B254FF" w:rsidRPr="005201C6" w:rsidRDefault="00B254FF" w:rsidP="00B254F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نمودار(1-4): تعداد کل مستمری بگیران </w:t>
      </w:r>
    </w:p>
    <w:p w14:paraId="1F6CC1D1" w14:textId="77777777" w:rsidR="00B254FF" w:rsidRPr="005201C6" w:rsidRDefault="008D44EC" w:rsidP="00B254FF">
      <w:pPr>
        <w:bidi/>
        <w:jc w:val="center"/>
        <w:rPr>
          <w:rFonts w:ascii="IPT Nazanin" w:hAnsi="IPT Nazanin" w:cs="B Nazanin"/>
          <w:sz w:val="24"/>
          <w:szCs w:val="24"/>
          <w:rtl/>
        </w:rPr>
      </w:pPr>
      <w:r>
        <w:rPr>
          <w:noProof/>
        </w:rPr>
        <w:drawing>
          <wp:inline distT="0" distB="0" distL="0" distR="0" wp14:anchorId="02DB8355" wp14:editId="3A4A0F4C">
            <wp:extent cx="5779432" cy="2404110"/>
            <wp:effectExtent l="76200" t="76200" r="69215" b="72390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14:paraId="2A544219" w14:textId="4283C096" w:rsidR="000B0D07" w:rsidRPr="00E97CFA" w:rsidRDefault="00B254FF" w:rsidP="005E53D4">
      <w:pPr>
        <w:bidi/>
        <w:ind w:left="227"/>
        <w:jc w:val="both"/>
        <w:rPr>
          <w:rFonts w:ascii="IPT Nazanin" w:hAnsi="IPT Nazanin" w:cs="B Nazanin"/>
          <w:sz w:val="24"/>
          <w:szCs w:val="24"/>
        </w:rPr>
      </w:pPr>
      <w:r w:rsidRPr="005201C6">
        <w:rPr>
          <w:rFonts w:ascii="IPT Nazanin" w:hAnsi="IPT Nazanin" w:cs="B Nazanin"/>
          <w:sz w:val="24"/>
          <w:szCs w:val="24"/>
          <w:rtl/>
        </w:rPr>
        <w:t xml:space="preserve">تعداد مستمری بگیران تامین اجتماعی </w:t>
      </w:r>
      <w:r w:rsidR="008775D3">
        <w:rPr>
          <w:rFonts w:ascii="IPT Nazanin" w:hAnsi="IPT Nazanin" w:cs="B Nazanin" w:hint="cs"/>
          <w:sz w:val="24"/>
          <w:szCs w:val="24"/>
          <w:rtl/>
        </w:rPr>
        <w:t xml:space="preserve">شهرستان </w:t>
      </w:r>
      <w:r w:rsidRPr="005201C6">
        <w:rPr>
          <w:rFonts w:ascii="IPT Nazanin" w:hAnsi="IPT Nazanin" w:cs="B Nazanin"/>
          <w:sz w:val="24"/>
          <w:szCs w:val="24"/>
          <w:rtl/>
        </w:rPr>
        <w:t>روند افزایشی داشته است که بیانگر افزایش بازنشستگی در این شهرستان می‌باشد.</w:t>
      </w:r>
      <w:r w:rsidR="00607726">
        <w:rPr>
          <w:rFonts w:ascii="IPT Nazanin" w:hAnsi="IPT Nazanin" w:cs="B Nazanin" w:hint="cs"/>
          <w:sz w:val="24"/>
          <w:szCs w:val="24"/>
          <w:rtl/>
        </w:rPr>
        <w:t xml:space="preserve"> با توجه به نمودار </w:t>
      </w:r>
      <w:r w:rsidR="008775D3">
        <w:rPr>
          <w:rFonts w:ascii="IPT Nazanin" w:hAnsi="IPT Nazanin" w:cs="B Nazanin" w:hint="cs"/>
          <w:sz w:val="24"/>
          <w:szCs w:val="24"/>
          <w:rtl/>
        </w:rPr>
        <w:t xml:space="preserve">بالا، </w:t>
      </w:r>
      <w:r w:rsidR="00607726">
        <w:rPr>
          <w:rFonts w:ascii="IPT Nazanin" w:hAnsi="IPT Nazanin" w:cs="B Nazanin" w:hint="cs"/>
          <w:sz w:val="24"/>
          <w:szCs w:val="24"/>
          <w:rtl/>
        </w:rPr>
        <w:t>سال 95 رشدی جهشی نسبت به سال قبل خود داشته است</w:t>
      </w:r>
      <w:r w:rsidR="008775D3">
        <w:rPr>
          <w:rFonts w:ascii="IPT Nazanin" w:hAnsi="IPT Nazanin" w:cs="B Nazanin" w:hint="cs"/>
          <w:sz w:val="24"/>
          <w:szCs w:val="24"/>
          <w:rtl/>
        </w:rPr>
        <w:t xml:space="preserve"> که قابل بررسی می‌باشد.</w:t>
      </w:r>
    </w:p>
    <w:sectPr w:rsidR="000B0D07" w:rsidRPr="00E97CFA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IPT Nazanin">
    <w:altName w:val="Symbol"/>
    <w:panose1 w:val="00000400000000000000"/>
    <w:charset w:val="02"/>
    <w:family w:val="auto"/>
    <w:pitch w:val="variable"/>
    <w:sig w:usb0="00000000" w:usb1="10000000" w:usb2="00000000" w:usb3="00000000" w:csb0="8000000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F0B"/>
    <w:rsid w:val="000F519E"/>
    <w:rsid w:val="003A10C6"/>
    <w:rsid w:val="003C1DC7"/>
    <w:rsid w:val="005E53D4"/>
    <w:rsid w:val="00607726"/>
    <w:rsid w:val="006B0991"/>
    <w:rsid w:val="008775D3"/>
    <w:rsid w:val="008D44EC"/>
    <w:rsid w:val="008E2F0B"/>
    <w:rsid w:val="00B254FF"/>
    <w:rsid w:val="00E97CFA"/>
    <w:rsid w:val="00F62BE3"/>
    <w:rsid w:val="00FC15A7"/>
    <w:rsid w:val="00FD0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؛"/>
  <w14:docId w14:val="50CAC2A4"/>
  <w15:chartTrackingRefBased/>
  <w15:docId w15:val="{06599E95-0694-41E8-90A7-F17749F056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254F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860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chart" Target="charts/chart4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chart" Target="charts/chart3.xml"/><Relationship Id="rId5" Type="http://schemas.openxmlformats.org/officeDocument/2006/relationships/chart" Target="charts/chart2.xml"/><Relationship Id="rId4" Type="http://schemas.openxmlformats.org/officeDocument/2006/relationships/chart" Target="charts/chart1.xml"/><Relationship Id="rId9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8;&#1575;&#1605;&#1740;&#1606;%20&#1575;&#1580;&#1578;&#1605;&#1575;&#1593;&#1740;%20&#1705;&#1575;&#1588;&#1575;&#1606;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8;&#1575;&#1605;&#1740;&#1606;%20&#1575;&#1580;&#1578;&#1605;&#1575;&#1593;&#1740;%20&#1705;&#1575;&#1588;&#1575;&#1606;.xlsx" TargetMode="External"/><Relationship Id="rId2" Type="http://schemas.microsoft.com/office/2011/relationships/chartColorStyle" Target="colors2.xml"/><Relationship Id="rId1" Type="http://schemas.microsoft.com/office/2011/relationships/chartStyle" Target="style2.xml"/></Relationships>
</file>

<file path=word/charts/_rels/chart3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8;&#1575;&#1605;&#1740;&#1606;%20&#1575;&#1580;&#1578;&#1605;&#1575;&#1593;&#1740;%20&#1705;&#1575;&#1588;&#1575;&#1606;.xlsx" TargetMode="External"/><Relationship Id="rId2" Type="http://schemas.microsoft.com/office/2011/relationships/chartColorStyle" Target="colors3.xml"/><Relationship Id="rId1" Type="http://schemas.microsoft.com/office/2011/relationships/chartStyle" Target="style3.xml"/></Relationships>
</file>

<file path=word/charts/_rels/chart4.xml.rels><?xml version="1.0" encoding="UTF-8" standalone="yes"?>
<Relationships xmlns="http://schemas.openxmlformats.org/package/2006/relationships"><Relationship Id="rId3" Type="http://schemas.openxmlformats.org/officeDocument/2006/relationships/oleObject" Target="file:///D:\Noyan%20team\&#1587;&#1575;&#1604;&#1606;&#1575;&#1605;&#1607;%20&#1575;&#1578;&#1575;&#1602;%20&#1576;&#1575;&#1586;&#1585;&#1711;&#1575;&#1606;&#1740;%20&#1705;&#1575;&#1588;&#1575;&#1606;\&#1606;&#1607;&#1575;&#1740;&#1740;%20&#1587;&#1607;%20&#1588;&#1607;&#1585;&#1587;&#1578;&#1575;&#1606;\&#1705;&#1575;&#1588;&#1575;&#1606;\&#1575;&#1705;&#1587;&#1604;%20&#1705;&#1575;&#1588;&#1575;&#1606;\&#1578;&#1575;&#1605;&#1740;&#1606;%20&#1575;&#1580;&#1578;&#1605;&#1575;&#1593;&#1740;%20&#1705;&#1575;&#1588;&#1575;&#1606;.xlsx" TargetMode="External"/><Relationship Id="rId2" Type="http://schemas.microsoft.com/office/2011/relationships/chartColorStyle" Target="colors4.xml"/><Relationship Id="rId1" Type="http://schemas.microsoft.com/office/2011/relationships/chartStyle" Target="style4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نمودارها!$B$10</c:f>
              <c:strCache>
                <c:ptCount val="1"/>
                <c:pt idx="0">
                  <c:v>کارگاه های که لیست حق بیمه را پرداخته اند</c:v>
                </c:pt>
              </c:strCache>
            </c:strRef>
          </c:tx>
          <c:spPr>
            <a:solidFill>
              <a:schemeClr val="accent1">
                <a:lumMod val="75000"/>
              </a:schemeClr>
            </a:solidFill>
            <a:ln w="19050">
              <a:solidFill>
                <a:schemeClr val="accent6">
                  <a:lumMod val="40000"/>
                  <a:lumOff val="60000"/>
                </a:schemeClr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-5400000" spcFirstLastPara="1" vertOverflow="ellipsis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bg1"/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in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نمودارها!$C$9:$G$9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نمودارها!$C$10:$G$10</c:f>
              <c:numCache>
                <c:formatCode>#,##0</c:formatCode>
                <c:ptCount val="5"/>
                <c:pt idx="0">
                  <c:v>5341</c:v>
                </c:pt>
                <c:pt idx="1">
                  <c:v>5252</c:v>
                </c:pt>
                <c:pt idx="2">
                  <c:v>5285</c:v>
                </c:pt>
                <c:pt idx="3">
                  <c:v>4219</c:v>
                </c:pt>
                <c:pt idx="4">
                  <c:v>4182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0797-483B-85AC-BB9E66C4F3B1}"/>
            </c:ext>
          </c:extLst>
        </c:ser>
        <c:dLbls>
          <c:dLblPos val="in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63893368"/>
        <c:axId val="363893040"/>
      </c:barChart>
      <c:catAx>
        <c:axId val="363893368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28575" cap="flat" cmpd="sng" algn="ctr">
            <a:solidFill>
              <a:schemeClr val="accent3">
                <a:lumMod val="75000"/>
              </a:schemeClr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3893040"/>
        <c:crosses val="autoZero"/>
        <c:auto val="1"/>
        <c:lblAlgn val="ctr"/>
        <c:lblOffset val="100"/>
        <c:noMultiLvlLbl val="0"/>
      </c:catAx>
      <c:valAx>
        <c:axId val="363893040"/>
        <c:scaling>
          <c:orientation val="minMax"/>
          <c:max val="6000"/>
          <c:min val="100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prstDash val="dash"/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3893368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5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نمودارها!$B$11</c:f>
              <c:strCache>
                <c:ptCount val="1"/>
                <c:pt idx="0">
                  <c:v> کل بیمه شدگان</c:v>
                </c:pt>
              </c:strCache>
            </c:strRef>
          </c:tx>
          <c:spPr>
            <a:solidFill>
              <a:schemeClr val="bg1"/>
            </a:solidFill>
            <a:ln w="38100">
              <a:solidFill>
                <a:schemeClr val="accent5">
                  <a:lumMod val="40000"/>
                  <a:lumOff val="60000"/>
                </a:schemeClr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نمودارها!$C$9:$G$9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نمودارها!$C$11:$G$11</c:f>
              <c:numCache>
                <c:formatCode>#,##0</c:formatCode>
                <c:ptCount val="5"/>
                <c:pt idx="0">
                  <c:v>74968</c:v>
                </c:pt>
                <c:pt idx="1">
                  <c:v>74467</c:v>
                </c:pt>
                <c:pt idx="2">
                  <c:v>79343</c:v>
                </c:pt>
                <c:pt idx="3">
                  <c:v>66020</c:v>
                </c:pt>
                <c:pt idx="4">
                  <c:v>65509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4F4F-4807-8998-60EFBA099F05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34"/>
        <c:overlap val="-27"/>
        <c:axId val="399903120"/>
        <c:axId val="399904432"/>
      </c:barChart>
      <c:catAx>
        <c:axId val="399903120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rgbClr val="92D05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99904432"/>
        <c:crosses val="autoZero"/>
        <c:auto val="1"/>
        <c:lblAlgn val="ctr"/>
        <c:lblOffset val="100"/>
        <c:noMultiLvlLbl val="0"/>
      </c:catAx>
      <c:valAx>
        <c:axId val="399904432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6">
                  <a:lumMod val="20000"/>
                  <a:lumOff val="80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99903120"/>
        <c:crosses val="autoZero"/>
        <c:crossBetween val="between"/>
      </c:valAx>
      <c:spPr>
        <a:noFill/>
        <a:ln>
          <a:solidFill>
            <a:schemeClr val="accent6">
              <a:lumMod val="60000"/>
              <a:lumOff val="40000"/>
            </a:schemeClr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1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view3D>
      <c:rotX val="15"/>
      <c:rotY val="20"/>
      <c:depthPercent val="100"/>
      <c:rAngAx val="1"/>
    </c:view3D>
    <c:floor>
      <c:thickness val="0"/>
      <c:spPr>
        <a:noFill/>
        <a:ln w="19050">
          <a:solidFill>
            <a:schemeClr val="bg2">
              <a:lumMod val="75000"/>
            </a:schemeClr>
          </a:solidFill>
        </a:ln>
        <a:effectLst/>
        <a:sp3d contourW="19050">
          <a:contourClr>
            <a:schemeClr val="bg2">
              <a:lumMod val="75000"/>
            </a:schemeClr>
          </a:contourClr>
        </a:sp3d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bar3DChart>
        <c:barDir val="col"/>
        <c:grouping val="clustered"/>
        <c:varyColors val="0"/>
        <c:ser>
          <c:idx val="0"/>
          <c:order val="0"/>
          <c:tx>
            <c:strRef>
              <c:f>نمودارها!$B$12</c:f>
              <c:strCache>
                <c:ptCount val="1"/>
                <c:pt idx="0">
                  <c:v> کل بیمه شدگان بیکاری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  <a:sp3d/>
          </c:spPr>
          <c:invertIfNegative val="0"/>
          <c:dLbls>
            <c:dLbl>
              <c:idx val="0"/>
              <c:spPr>
                <a:solidFill>
                  <a:sysClr val="window" lastClr="FFFFFF"/>
                </a:solidFill>
                <a:ln w="9525" cap="flat" cmpd="sng" algn="ctr">
                  <a:solidFill>
                    <a:srgbClr val="4472C4">
                      <a:lumMod val="20000"/>
                      <a:lumOff val="80000"/>
                    </a:srgbClr>
                  </a:solidFill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fa-IR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33490"/>
                        <a:gd name="adj2" fmla="val 90062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0-DF22-4054-B7CB-58F7A8C3D3B2}"/>
                </c:ext>
              </c:extLst>
            </c:dLbl>
            <c:dLbl>
              <c:idx val="1"/>
              <c:spPr>
                <a:solidFill>
                  <a:sysClr val="window" lastClr="FFFFFF"/>
                </a:solidFill>
                <a:ln w="9525" cap="flat" cmpd="sng" algn="ctr">
                  <a:solidFill>
                    <a:srgbClr val="4472C4">
                      <a:lumMod val="20000"/>
                      <a:lumOff val="80000"/>
                    </a:srgbClr>
                  </a:solidFill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fa-IR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31097"/>
                        <a:gd name="adj2" fmla="val 86420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1-DF22-4054-B7CB-58F7A8C3D3B2}"/>
                </c:ext>
              </c:extLst>
            </c:dLbl>
            <c:dLbl>
              <c:idx val="2"/>
              <c:spPr>
                <a:solidFill>
                  <a:sysClr val="window" lastClr="FFFFFF"/>
                </a:solidFill>
                <a:ln w="9525" cap="flat" cmpd="sng" algn="ctr">
                  <a:solidFill>
                    <a:srgbClr val="4472C4">
                      <a:lumMod val="20000"/>
                      <a:lumOff val="80000"/>
                    </a:srgbClr>
                  </a:solidFill>
                  <a:prstDash val="solid"/>
                  <a:round/>
                  <a:headEnd type="none" w="med" len="med"/>
                  <a:tailEnd type="none" w="med" len="med"/>
                </a:ln>
                <a:effectLst/>
              </c:spPr>
              <c:txPr>
                <a:bodyPr rot="0" spcFirstLastPara="1" vertOverflow="clip" horzOverflow="clip" vert="horz" wrap="square" lIns="36576" tIns="18288" rIns="36576" bIns="18288" anchor="ctr" anchorCtr="1">
                  <a:spAutoFit/>
                </a:bodyPr>
                <a:lstStyle/>
                <a:p>
                  <a:pPr>
                    <a:defRPr sz="900" b="0" i="0" u="none" strike="noStrike" kern="1200" baseline="0">
                      <a:solidFill>
                        <a:schemeClr val="dk1">
                          <a:lumMod val="65000"/>
                          <a:lumOff val="35000"/>
                        </a:schemeClr>
                      </a:solidFill>
                      <a:latin typeface="IPT Nazanin" panose="00000400000000000000" pitchFamily="2" charset="2"/>
                      <a:ea typeface="+mn-ea"/>
                      <a:cs typeface="B Nazanin" panose="00000400000000000000" pitchFamily="2" charset="-78"/>
                    </a:defRPr>
                  </a:pPr>
                  <a:endParaRPr lang="fa-IR"/>
                </a:p>
              </c:txPr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pPr xmlns:c15="http://schemas.microsoft.com/office/drawing/2012/chart">
                    <a:prstGeom prst="wedgeRectCallout">
                      <a:avLst>
                        <a:gd name="adj1" fmla="val 33982"/>
                        <a:gd name="adj2" fmla="val 82778"/>
                      </a:avLst>
                    </a:prstGeom>
                    <a:noFill/>
                    <a:ln>
                      <a:noFill/>
                    </a:ln>
                  </c15:spPr>
                </c:ext>
                <c:ext xmlns:c16="http://schemas.microsoft.com/office/drawing/2014/chart" uri="{C3380CC4-5D6E-409C-BE32-E72D297353CC}">
                  <c16:uniqueId val="{00000002-DF22-4054-B7CB-58F7A8C3D3B2}"/>
                </c:ext>
              </c:extLst>
            </c:dLbl>
            <c:spPr>
              <a:solidFill>
                <a:sysClr val="window" lastClr="FFFFFF"/>
              </a:solidFill>
              <a:ln>
                <a:solidFill>
                  <a:srgbClr val="4472C4">
                    <a:lumMod val="20000"/>
                    <a:lumOff val="80000"/>
                  </a:srgbClr>
                </a:solidFill>
              </a:ln>
              <a:effectLst/>
            </c:spPr>
            <c:txPr>
              <a:bodyPr rot="0" spcFirstLastPara="1" vertOverflow="clip" horzOverflow="clip" vert="horz" wrap="square" lIns="36576" tIns="18288" rIns="36576" bIns="18288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dk1">
                        <a:lumMod val="65000"/>
                        <a:lumOff val="35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pPr xmlns:c15="http://schemas.microsoft.com/office/drawing/2012/chart">
                  <a:prstGeom prst="wedgeRectCallout">
                    <a:avLst/>
                  </a:prstGeom>
                  <a:noFill/>
                  <a:ln>
                    <a:noFill/>
                  </a:ln>
                </c15:spPr>
                <c15:showLeaderLines val="0"/>
              </c:ext>
            </c:extLst>
          </c:dLbls>
          <c:cat>
            <c:strRef>
              <c:f>نمودارها!$C$9:$G$9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نمودارها!$C$12:$G$12</c:f>
              <c:numCache>
                <c:formatCode>#,##0</c:formatCode>
                <c:ptCount val="5"/>
                <c:pt idx="0">
                  <c:v>1284</c:v>
                </c:pt>
                <c:pt idx="1">
                  <c:v>1405</c:v>
                </c:pt>
                <c:pt idx="2">
                  <c:v>1563</c:v>
                </c:pt>
                <c:pt idx="3">
                  <c:v>2045</c:v>
                </c:pt>
                <c:pt idx="4">
                  <c:v>1958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F22-4054-B7CB-58F7A8C3D3B2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401828392"/>
        <c:axId val="401833640"/>
        <c:axId val="0"/>
      </c:bar3DChart>
      <c:catAx>
        <c:axId val="401828392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1833640"/>
        <c:crosses val="autoZero"/>
        <c:auto val="1"/>
        <c:lblAlgn val="ctr"/>
        <c:lblOffset val="100"/>
        <c:noMultiLvlLbl val="0"/>
      </c:catAx>
      <c:valAx>
        <c:axId val="401833640"/>
        <c:scaling>
          <c:orientation val="minMax"/>
        </c:scaling>
        <c:delete val="0"/>
        <c:axPos val="l"/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401828392"/>
        <c:crosses val="autoZero"/>
        <c:crossBetween val="between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rgbClr val="F3FBFF"/>
    </a:solidFill>
    <a:ln w="9525" cap="flat" cmpd="sng" algn="ctr">
      <a:solidFill>
        <a:schemeClr val="tx1">
          <a:lumMod val="15000"/>
          <a:lumOff val="85000"/>
        </a:schemeClr>
      </a:solidFill>
      <a:round/>
    </a:ln>
    <a:effectLst>
      <a:glow rad="63500">
        <a:schemeClr val="accent5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نمودارها!$B$13</c:f>
              <c:strCache>
                <c:ptCount val="1"/>
                <c:pt idx="0">
                  <c:v> کل مستمری بگیران</c:v>
                </c:pt>
              </c:strCache>
            </c:strRef>
          </c:tx>
          <c:spPr>
            <a:pattFill prst="pct40">
              <a:fgClr>
                <a:srgbClr val="54C5DC"/>
              </a:fgClr>
              <a:bgClr>
                <a:schemeClr val="bg1"/>
              </a:bgClr>
            </a:pattFill>
            <a:ln>
              <a:solidFill>
                <a:srgbClr val="E7FFFF"/>
              </a:solidFill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anchor="ctr" anchorCtr="1"/>
              <a:lstStyle/>
              <a:p>
                <a:pPr>
                  <a:defRPr sz="900" b="0" i="0" u="none" strike="noStrike" kern="1200" baseline="0">
                    <a:solidFill>
                      <a:schemeClr val="accent5">
                        <a:lumMod val="50000"/>
                      </a:schemeClr>
                    </a:solidFill>
                    <a:latin typeface="IPT Nazanin" panose="00000400000000000000" pitchFamily="2" charset="2"/>
                    <a:ea typeface="+mn-ea"/>
                    <a:cs typeface="B Nazanin" panose="00000400000000000000" pitchFamily="2" charset="-78"/>
                  </a:defRPr>
                </a:pPr>
                <a:endParaRPr lang="fa-IR"/>
              </a:p>
            </c:txPr>
            <c:dLblPos val="ctr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نمودارها!$C$9:$G$9</c:f>
              <c:strCache>
                <c:ptCount val="5"/>
                <c:pt idx="0">
                  <c:v>سال94</c:v>
                </c:pt>
                <c:pt idx="1">
                  <c:v>سال95</c:v>
                </c:pt>
                <c:pt idx="2">
                  <c:v>سال96</c:v>
                </c:pt>
                <c:pt idx="3">
                  <c:v>سال97</c:v>
                </c:pt>
                <c:pt idx="4">
                  <c:v>سال98</c:v>
                </c:pt>
              </c:strCache>
            </c:strRef>
          </c:cat>
          <c:val>
            <c:numRef>
              <c:f>نمودارها!$C$13:$G$13</c:f>
              <c:numCache>
                <c:formatCode>#,##0</c:formatCode>
                <c:ptCount val="5"/>
                <c:pt idx="0">
                  <c:v>2530</c:v>
                </c:pt>
                <c:pt idx="1">
                  <c:v>21577</c:v>
                </c:pt>
                <c:pt idx="2">
                  <c:v>22712</c:v>
                </c:pt>
                <c:pt idx="3">
                  <c:v>22939</c:v>
                </c:pt>
                <c:pt idx="4">
                  <c:v>23632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C3FA-499A-ACF2-75C96936412B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32"/>
        <c:overlap val="-27"/>
        <c:axId val="364515584"/>
        <c:axId val="364514600"/>
      </c:barChart>
      <c:catAx>
        <c:axId val="364515584"/>
        <c:scaling>
          <c:orientation val="minMax"/>
        </c:scaling>
        <c:delete val="0"/>
        <c:axPos val="b"/>
        <c:numFmt formatCode="General" sourceLinked="1"/>
        <c:majorTickMark val="none"/>
        <c:minorTickMark val="none"/>
        <c:tickLblPos val="nextTo"/>
        <c:spPr>
          <a:noFill/>
          <a:ln w="12700" cap="flat" cmpd="sng" algn="ctr">
            <a:solidFill>
              <a:srgbClr val="00B0F0"/>
            </a:solidFill>
            <a:prstDash val="lgDash"/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4514600"/>
        <c:crosses val="autoZero"/>
        <c:auto val="1"/>
        <c:lblAlgn val="ctr"/>
        <c:lblOffset val="100"/>
        <c:noMultiLvlLbl val="0"/>
      </c:catAx>
      <c:valAx>
        <c:axId val="36451460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accent4">
                  <a:lumMod val="20000"/>
                  <a:lumOff val="80000"/>
                </a:schemeClr>
              </a:solidFill>
              <a:round/>
            </a:ln>
            <a:effectLst/>
          </c:spPr>
        </c:majorGridlines>
        <c:numFmt formatCode="#,##0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IPT Nazanin" panose="00000400000000000000" pitchFamily="2" charset="2"/>
                <a:ea typeface="+mn-ea"/>
                <a:cs typeface="B Nazanin" panose="00000400000000000000" pitchFamily="2" charset="-78"/>
              </a:defRPr>
            </a:pPr>
            <a:endParaRPr lang="fa-IR"/>
          </a:p>
        </c:txPr>
        <c:crossAx val="364515584"/>
        <c:crosses val="autoZero"/>
        <c:crossBetween val="between"/>
      </c:valAx>
      <c:spPr>
        <a:noFill/>
        <a:ln>
          <a:solidFill>
            <a:schemeClr val="accent1">
              <a:lumMod val="20000"/>
              <a:lumOff val="80000"/>
            </a:schemeClr>
          </a:solidFill>
        </a:ln>
        <a:effectLst/>
      </c:spPr>
    </c:plotArea>
    <c:plotVisOnly val="1"/>
    <c:dispBlanksAs val="gap"/>
    <c:showDLblsOverMax val="0"/>
  </c:chart>
  <c:spPr>
    <a:solidFill>
      <a:schemeClr val="bg1"/>
    </a:solidFill>
    <a:ln w="9525" cap="flat" cmpd="sng" algn="ctr">
      <a:solidFill>
        <a:srgbClr val="00B0F0"/>
      </a:solidFill>
      <a:round/>
    </a:ln>
    <a:effectLst>
      <a:glow rad="63500">
        <a:schemeClr val="accent5">
          <a:satMod val="175000"/>
          <a:alpha val="40000"/>
        </a:schemeClr>
      </a:glow>
    </a:effectLst>
  </c:spPr>
  <c:txPr>
    <a:bodyPr/>
    <a:lstStyle/>
    <a:p>
      <a:pPr>
        <a:defRPr baseline="0">
          <a:latin typeface="IPT Nazanin" panose="00000400000000000000" pitchFamily="2" charset="2"/>
          <a:cs typeface="B Nazanin" panose="00000400000000000000" pitchFamily="2" charset="-78"/>
        </a:defRPr>
      </a:pPr>
      <a:endParaRPr lang="fa-IR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2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3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colors4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2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3.xml><?xml version="1.0" encoding="utf-8"?>
<cs:chartStyle xmlns:cs="http://schemas.microsoft.com/office/drawing/2012/chartStyle" xmlns:a="http://schemas.openxmlformats.org/drawingml/2006/main" id="286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tx1"/>
    </cs:fontRef>
    <cs:spPr>
      <a:solidFill>
        <a:schemeClr val="dk1">
          <a:lumMod val="75000"/>
          <a:lumOff val="25000"/>
        </a:schemeClr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0"/>
            <a:lumOff val="50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tx1"/>
    </cs:fontRef>
    <cs:spPr>
      <a:solidFill>
        <a:schemeClr val="lt1"/>
      </a:solidFill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charts/style4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234</Words>
  <Characters>1339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</dc:creator>
  <cp:keywords/>
  <dc:description/>
  <cp:lastModifiedBy>dr.abedinzade</cp:lastModifiedBy>
  <cp:revision>10</cp:revision>
  <dcterms:created xsi:type="dcterms:W3CDTF">2019-09-04T09:31:00Z</dcterms:created>
  <dcterms:modified xsi:type="dcterms:W3CDTF">2021-07-28T06:41:00Z</dcterms:modified>
</cp:coreProperties>
</file>